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i w:val="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p>
    <w:p w:rsidR="00000000" w:rsidDel="00000000" w:rsidP="00000000" w:rsidRDefault="00000000" w:rsidRPr="00000000" w14:paraId="00000002">
      <w:pPr>
        <w:ind w:left="0" w:firstLine="0"/>
        <w:rPr>
          <w:i w:val="1"/>
        </w:rPr>
      </w:pPr>
      <w:r w:rsidDel="00000000" w:rsidR="00000000" w:rsidRPr="00000000">
        <w:rPr>
          <w:rtl w:val="0"/>
        </w:rPr>
      </w:r>
    </w:p>
    <w:p w:rsidR="00000000" w:rsidDel="00000000" w:rsidP="00000000" w:rsidRDefault="00000000" w:rsidRPr="00000000" w14:paraId="00000003">
      <w:pPr>
        <w:ind w:left="0" w:firstLine="0"/>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200" w:before="0" w:line="276" w:lineRule="auto"/>
        <w:rPr>
          <w:b w:val="1"/>
          <w:color w:val="2d2d2d"/>
          <w:sz w:val="24"/>
          <w:szCs w:val="24"/>
        </w:rPr>
      </w:pPr>
      <w:bookmarkStart w:colFirst="0" w:colLast="0" w:name="_heading=h.16mbup1v9u7k" w:id="0"/>
      <w:bookmarkEnd w:id="0"/>
      <w:r w:rsidDel="00000000" w:rsidR="00000000" w:rsidRPr="00000000">
        <w:rPr>
          <w:b w:val="1"/>
          <w:color w:val="2d2d2d"/>
          <w:sz w:val="24"/>
          <w:szCs w:val="24"/>
          <w:rtl w:val="0"/>
        </w:rPr>
        <w:t xml:space="preserve">Beispiel einer Ankündigung eines neuen Mitarbeiters</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Die E-Mail, in der Sie neue Mitarbeiter willkommen heißen, sollte kurz, freundlich und informativ sein und den Ton Ihrer Marke treffen.</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Hier ist ein Beispiel:</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Hallo zusammen,</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wir haben ein neues Teammitglied. Heißt Chris Bäcker herzlich willkommen. Chris unterstützt uns ab Montag als Senior Account Executive für die Region Südost. Er ist der Sales Managerin Hannelore Wagner unterstellt und hilft dabei, die Beziehungen zu einigen unserer wichtigsten Kunden auszubauen. Chris hat 2009 seinen MBA (Master of Business Administration) an der Universität zu Köln gemacht und bringt mehr als acht Jahre Berufserfahrung im Technologiebereich mit. Chris war zuvor als Senior Account Executive bei ABC tätig. Dort hat er dazu beigetragen, dass der Verkauf von Produkten für Cybersicherheit jedes Jahr verdoppelt werden konnte. Chris engagiert sich außerdem ehrenamtlich für den Tierschutz und ist ein begeisterter Läufer, der letzten Herbst seinen ersten Marathon bestritten hat. Wenn er nicht arbeitet, kümmert Chris sich um Tiere und trainiert für seinen nächsten großen Lauf. Man trifft ihn dann öfter im Hundepark mit seinen zwei schwarzen Labradoren. Mit seiner Branchenkenntnis und seinem ausgezeichneten akademischen Hintergrund ist Chris die perfekte Ergänzung für unser Team. Wir freuen uns darauf zu sehen, wie er unsere Tätigkeiten in der Region Südost ausbaut und uns dabei unterstützt, unser Umsatzziel für 2018 zu erreichen. Chris hat sein Büro auf der Ostseite im vierten Stock. Er freut sich bestimmt sehr, wenn ihr dort vorbeischaut und ihn begrüßt.</w:t>
      </w:r>
      <w:r w:rsidDel="00000000" w:rsidR="00000000" w:rsidRPr="00000000">
        <w:rPr>
          <w:rtl w:val="0"/>
        </w:rPr>
      </w:r>
    </w:p>
    <w:p w:rsidR="00000000" w:rsidDel="00000000" w:rsidP="00000000" w:rsidRDefault="00000000" w:rsidRPr="00000000" w14:paraId="00000009">
      <w:pPr>
        <w:ind w:left="0" w:firstLine="0"/>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ind w:left="0" w:firstLine="0"/>
        <w:rPr>
          <w:i w:val="1"/>
          <w:color w:val="494949"/>
          <w:sz w:val="24"/>
          <w:szCs w:val="24"/>
        </w:rPr>
      </w:pPr>
      <w:r w:rsidDel="00000000" w:rsidR="00000000" w:rsidRPr="00000000">
        <w:rPr>
          <w:rtl w:val="0"/>
        </w:rPr>
      </w:r>
    </w:p>
    <w:p w:rsidR="00000000" w:rsidDel="00000000" w:rsidP="00000000" w:rsidRDefault="00000000" w:rsidRPr="00000000" w14:paraId="0000000B">
      <w:pPr>
        <w:ind w:left="0" w:firstLine="0"/>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hd w:fill="ffffff" w:val="clear"/>
      <w:jc w:val="right"/>
      <w:rPr/>
    </w:pPr>
    <w:r w:rsidDel="00000000" w:rsidR="00000000" w:rsidRPr="00000000">
      <w:rPr/>
      <w:drawing>
        <wp:inline distB="0" distT="0" distL="114300" distR="114300">
          <wp:extent cx="1181100" cy="312941"/>
          <wp:effectExtent b="0" l="0" r="0" t="0"/>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0E">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ZTdzdV1qVezZlrkIxj7MQzfzw==">CgMxLjAyDmguMTZtYnVwMXY5dTdrOAByITFFYVd3clkzOHQ3eHU5aVNJMDlmdTBlQUhPai02LVFSNA==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